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486" w:rsidRDefault="00B51486" w:rsidP="00864818">
      <w:pPr>
        <w:pStyle w:val="Heading1"/>
        <w:spacing w:before="64"/>
        <w:ind w:left="100"/>
        <w:rPr>
          <w:b w:val="0"/>
          <w:bCs w:val="0"/>
        </w:rPr>
      </w:pPr>
      <w:r>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SECTION 2. GENERAL TERMS &amp; CONDITIONS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pass-through warranty on major components such as the Engine, Transmission, HVAC, Destination Signs and Batteries. If there is a warrantable failure during the warranty period on any of these components, these component suppliers will repair the buses or provide replacement components at no charge to TCPTA. New Flyer asks that the TCPTA deal directly with local authorized supplier of these components so the buses can get back into revenue service as quickly as possible.</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New Flyer will provide support as neccessary.</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GENERAL DESCRIPTION 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17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Regional Product Support Manager to work with the TCPTA on warranty related issues as needed. The Regional Product Support Manager is available via phone or e-mail and normally responds within 24 hours. If New Flyer representation is required on-site, New Flyer will have on-site support as soon as possible.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SECTION 7: WARRANTY REQUIREMENTS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that TCPTA please clarify that the extended warranties for the engine &amp; Transmission are to be inlcluded in the base bus cost or are to be priced as an option outside of the bus price and are just looking for "cost information"?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864818">
            <w:pPr>
              <w:pStyle w:val="ListParagraph"/>
              <w:numPr>
                <w:ilvl w:val="0"/>
                <w:numId w:val="1"/>
              </w:numPr>
              <w:tabs>
                <w:tab w:val="left" w:pos="2785"/>
              </w:tabs>
              <w:spacing w:before="150" w:line="139" w:lineRule="exact"/>
              <w:rPr>
                <w:rFonts w:ascii="Arial" w:eastAsia="Arial" w:hAnsi="Arial" w:cs="Arial"/>
                <w:sz w:val="18"/>
                <w:szCs w:val="18"/>
              </w:rPr>
            </w:pPr>
            <w:r>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Pr="005208BF" w:rsidRDefault="005208BF" w:rsidP="005208BF">
            <w:pPr>
              <w:tabs>
                <w:tab w:val="left" w:pos="4936"/>
              </w:tabs>
              <w:spacing w:line="157" w:lineRule="exact"/>
              <w:ind w:left="4775"/>
              <w:rPr>
                <w:rFonts w:ascii="Arial" w:eastAsia="Arial" w:hAnsi="Arial" w:cs="Arial"/>
                <w:sz w:val="18"/>
                <w:szCs w:val="18"/>
              </w:rPr>
            </w:pPr>
            <w:proofErr w:type="spellStart"/>
            <w:r>
              <w:rPr>
                <w:rFonts w:ascii="Arial" w:eastAsia="Arial" w:hAnsi="Arial" w:cs="Arial"/>
                <w:sz w:val="18"/>
                <w:szCs w:val="18"/>
                <w:highlight w:val="lightGray"/>
              </w:rPr>
              <w:t>X</w:t>
            </w:r>
            <w:r w:rsidR="00B51486" w:rsidRPr="005208BF">
              <w:rPr>
                <w:rFonts w:ascii="Arial"/>
                <w:spacing w:val="-1"/>
                <w:sz w:val="18"/>
              </w:rPr>
              <w:t>See</w:t>
            </w:r>
            <w:proofErr w:type="spellEnd"/>
            <w:r w:rsidR="00B51486" w:rsidRPr="005208BF">
              <w:rPr>
                <w:rFonts w:ascii="Arial"/>
                <w:spacing w:val="-1"/>
                <w:sz w:val="18"/>
              </w:rPr>
              <w:t xml:space="preserve"> response</w:t>
            </w:r>
            <w:r w:rsidR="00B51486" w:rsidRPr="005208BF">
              <w:rPr>
                <w:rFonts w:ascii="Arial"/>
                <w:sz w:val="18"/>
              </w:rPr>
              <w:t xml:space="preserve"> </w:t>
            </w:r>
            <w:r w:rsidR="00B51486" w:rsidRPr="005208BF">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r w:rsidR="005208BF">
              <w:rPr>
                <w:rFonts w:ascii="Arial"/>
                <w:b/>
                <w:spacing w:val="-1"/>
                <w:sz w:val="18"/>
              </w:rPr>
              <w:t xml:space="preserve"> TCPTA requests Warranties be priced separate outside of the base price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2.11 Specifications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All units proposed will be inspected by a representative of TCPTA upon delivery to ascertain compliance with the specifications, in accordance with the quality assurance terms of the Contract. Units not in compliance with the specifications will be rejected until proper remedial measures are taken to assure compliance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2.12 New Equipment</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New Units:</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All manufactured units shall be new, latest model unless otherwise stipulated. The proposer shall guarantee that commodities submitted for their proposal shall be new, and of the latest and most improved model of the current production, and shall be of first quality as to workmanship and materials used in said units. All modifications shall be made at the factory. Units shall not have been operated for any purpose other than routine operational testing. Demonstrators will not be accepted unless specifically requested.</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6</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2.13 Warranty</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The proposer shall assume full responsibility for warranty of all components of the units, in accordance with the warranty provisions of the Contract. A statement shall be attached with the Proposal setting out the conditions of the warranty. The manufacturer's standard warranty shall be furnished.</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7</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2.14 Contract Term</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In accordance with the Alabama Competitive Bid Law, as amended, TCPTA may enter into multi-year leases, purchase, and lease-purchase contracts for the acquisition of goods, supplies, materials and all other types of personal property, real property and services for a period not to exceed Five (5) years with the following provisions, in accordance with the terms and conditions of the Contract: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8</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2.17 Hold Harmless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The successful proposer agrees to indemnify, and hold TCPTA harmless from any and all proven third party damages arising out of or related to proposer's negligent performance under the Contract.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9</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2.21 ADA</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9</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The vendor/Proposer/contractor agrees to comply fully with the Americans with Disabilities Act and will indemnify and hold harmless TCPTA from all proven third party costs, including but not limited to damages as well as attorney's fees and staff time, in any action or proceeding brought alleging a violation of the American with Disabilities Act.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10</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2.22 Right to Inspect</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9</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 xml:space="preserve">At reasonable times, TCPTA may inspect those areas of the Proposer's place of business that are related to the performance of a contract. If TCPTA makes such an inspection, the Proposer must provide reasonable assistance. TCPTA reserves the right on demand and without notice to inspect all of the Proposer's files associated with a subsequent contract where payments are based on Proposer's record of time, salaries, materials, or actual expenses. Any such inspection will only occur after TCPTA enters into a confidentiality agreement, in accordance with the terms of the Contract.This same clause will apply to any subcontractors assigned to the contract; and, subcontractors, at any tier, may be required to provide access to records as provided in 49 U.S.C. </w:t>
            </w:r>
            <w:r w:rsidRPr="00F96D48">
              <w:rPr>
                <w:rFonts w:ascii="Arial"/>
                <w:b/>
                <w:noProof/>
                <w:spacing w:val="-1"/>
                <w:sz w:val="18"/>
              </w:rPr>
              <w:t>§</w:t>
            </w:r>
            <w:r w:rsidRPr="00F96D48">
              <w:rPr>
                <w:rFonts w:ascii="Arial"/>
                <w:b/>
                <w:noProof/>
                <w:spacing w:val="-1"/>
                <w:sz w:val="18"/>
              </w:rPr>
              <w:t xml:space="preserve"> 5325(g), if required by federal regulations that may pertain the Contract.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2.23 (9) Ethics, Compliance and Other Matters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10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Proposer is not indebted to TCPTA, and will not at any time during the term of the Contract (including any extensions or renewals thereof) be indebted to TCPTA, for or on account of any delinquent taxes, liens, judgments, fees or other debts for which no written agreement or payment plan satisfactory to TCPTA has been established. In addition to any other rights or remedies available to TCPTA at law or in equity, Proposer acknowledges that upon any breach or failure to conform to such certification, TCPTA shall have the right to, and may, at the option of TCPTA, withhold payments otherwise due to Proposer, and, if such breach or failure is not resolved to TCPTA's satisfaction within a reasonable time frame as specified by TCPTA in writing, this will offset any such proven indebtedness against said payments and/or terminate the Contract for default (in which case Proposer shall be liable for all proven excess costs and other proven damages including reasonable attorney's fees resulting from the termination).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2.25 Termination</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11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TCPTA reserves the right to terminate, without cause, any award made as a result of the RFP by providing a thirty (30) day letter of cancellation notification to the successful Proposer. If the funding source is a Federal grant, the Federal Government reserves the right to terminate, without cause, any award made as result of this Proposal. The Proposer shall be paid its costs, including contract close-out costs, and profit on work performed up to the time of termination.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Insurance Requirements - Hold Harmless Agreement</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amend this section to read the following:</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The Contractor, to the fullest extent permitted by law, shall indemnity and hold harmless TCPTA, its elected and appointed officials, employees, agents and specified volunteers against all proven third party damages, losses and expenses, including, but not limited to, attorney's fees, arising out of or resulting from negligent the performance of this Contract, provided that any such claim, damage, loss or expense (1) is attributable to personal injury, including bodily injury sickness, disease or death, or to injury to or destruction of tangible property, including loss of use resulting there from, and (2) is caused by any negligent act or omission of the Contractor, or any of their subcontractors, sub-consultants, or anyone directly or indirectly employed by any of them or anyone for whose acts they are legally liable. Such obligation should not be construed to negate, abridge, or otherwise reduce any other right or obligation of indemnity which would otherwise exist as to any party or person described in this paragraph.</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Acceptance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Within fifteen (15) calendar days after delivery of the unit to TCPTA, TCPTA shall conduct acceptance tests on the unit.  The acceptance tests to be conducted by TCPTA, and the criteria and standards in respect of such tests, shall be agreed upon by the Proposer and TCPTA prior to the Proposer building the unit.  If the unit passes these tests or if TCPTA does not notify the Proposer of non-acceptance within 15 calendar days after delivery of the unit, acceptance of the unit by TCPTA shall be deemed to have occurred on the 15th day after delivery.  Acceptance shall occur earlier if TCPTA notifies the Proposer of early acceptance or places the unit into revenue service.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Title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Title to the unit shall pass to TCPTA upon acceptance of the unit by TCPTA.</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16</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Risk of Loss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TCPTA shall assume risk of loss of the unit on delivery.  Prior to delivery, the Proposer shall have risk of loss of the unit.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17</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Force Majeure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If the Proposer is delayed at any time during the performance of the work by the neglect or failure of TCPTA or by delay or failure of the Proposer caused by an event beyond its control, including, but not limited to, natural disasters, floods, fires, acts of war or terrorism, labor shortages, strikes or lock-outs or shortages or loss of transportation, then the time for completion of the work and/or the delivery dates shall be extended by TCPTA by a reasonable period of time after such event of delay has ended in order that the Proposer may complete the work or deliver the unit.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18</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Price Adjustment Due to Regulatory Changes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Notwithstanding anything else to the contrary contained herein, in the event that a price adjustment is required in respect of changes that are mandatory as a result of legislation or regulations that become effective after the date of the proposal submission, such price adjustment shall be negotiated in good faith by the TCPTA and the Proposer.</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5208BF" w:rsidRDefault="005208BF" w:rsidP="005208BF">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5208BF">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19</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Waiver</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In the event that either party elects to waive its remedies for any breach by the other party of any covenant, term or condition of the contract, such waiver shall not limit the waiving party's remedies for any succeeding breach of that or any other term, covenant or condition of the Contract.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4B5923" w:rsidRDefault="004B5923" w:rsidP="004B5923">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4B5923">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20</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Confidentiality</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insert the following language into the specification:</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TCPTA and its representatives and agents agree to enter into a confidentiality agreement with the Proposer prior to commencing of any audit, review, analysis or inspection in order to protect and maintain the confidentiality of the Proposer's information.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3.2 - Gradability</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vehicle that meets the APTA whitebook's performance criteria of a bus that achieves and maintains a speed of 48 mph on 3 percent ascending grade and 15.8 mph on a 10 percent ascending grade continuous.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3.3 - Acceleration</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22</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vehicle that shall meet the requirements set forth below and shall be sufficiently gradual and smooth to prevent throwing standing passengers off-balance. Acceleration measurement shall commence when the accelerator is depressed.</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Speed/Time:</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10/1.9</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20/6.4</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30/13</w:t>
            </w:r>
          </w:p>
          <w:p w:rsidR="00B51486" w:rsidRPr="00F96D48" w:rsidRDefault="00B51486" w:rsidP="00FA1CBF">
            <w:pPr>
              <w:pStyle w:val="TableParagraph"/>
              <w:spacing w:before="54"/>
              <w:ind w:left="143"/>
              <w:rPr>
                <w:rFonts w:ascii="Arial"/>
                <w:b/>
                <w:noProof/>
                <w:spacing w:val="-1"/>
                <w:sz w:val="18"/>
              </w:rPr>
            </w:pPr>
            <w:r w:rsidRPr="00F96D48">
              <w:rPr>
                <w:rFonts w:ascii="Arial"/>
                <w:b/>
                <w:noProof/>
                <w:spacing w:val="-1"/>
                <w:sz w:val="18"/>
              </w:rPr>
              <w:t>40/22.6</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50/36.3</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Pr="00E05790" w:rsidRDefault="00E05790" w:rsidP="00E05790">
            <w:pPr>
              <w:tabs>
                <w:tab w:val="left" w:pos="4936"/>
              </w:tabs>
              <w:spacing w:line="157" w:lineRule="exact"/>
              <w:ind w:left="4775"/>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See response</w:t>
            </w:r>
            <w:r w:rsidR="00B51486" w:rsidRPr="00E05790">
              <w:rPr>
                <w:rFonts w:ascii="Arial"/>
                <w:sz w:val="18"/>
              </w:rPr>
              <w:t xml:space="preserve"> </w:t>
            </w:r>
            <w:r w:rsidR="00B51486" w:rsidRPr="00E05790">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r w:rsidR="00E05790">
              <w:rPr>
                <w:rFonts w:ascii="Arial"/>
                <w:b/>
                <w:spacing w:val="-1"/>
                <w:sz w:val="18"/>
              </w:rPr>
              <w:t xml:space="preserve"> In another set of questions, this question was submitted also.</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5 - Cooling Systems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23</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Grayson radiator and intercooler mounted on the rear, left hand side with the hydraulically driven fan switched by the engine management system. Cooling is designed to meet 54 degrees C LAT.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5.1.1 - Radiator</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23</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cooling system with 12.8 fins per inch, hydraulic driven radiator and charge air cooler fan located beside each other (not stacked) on the rear lower curbside of the bus.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6 - Transmission</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24</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an Allison B300R transmission equipped with a retarder. This transmission is inherent to New Flyer design.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26</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8 - Hydraulic Systems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25</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ZF 8095 integrally powered, variable ratio steering gear.</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27</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11 - Floor</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26</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 xml:space="preserve">New Flyer requests approval to provide a vehicle consisting of two levels (bi-level construction). The upper deck floor height may be raised to a height no more than 21 in. above the lower level, with equally spaced steps. An increase slope shall be allowed on the upper level, not to exceed 3.5 deg off the horizontal. The proposed bus surface edges shall be blended with a circular section of radius not less than </w:t>
            </w:r>
            <w:r w:rsidRPr="00F96D48">
              <w:rPr>
                <w:rFonts w:ascii="Arial"/>
                <w:b/>
                <w:noProof/>
                <w:spacing w:val="-1"/>
                <w:sz w:val="18"/>
              </w:rPr>
              <w:t>¼</w:t>
            </w:r>
            <w:r w:rsidRPr="00F96D48">
              <w:rPr>
                <w:rFonts w:ascii="Arial"/>
                <w:b/>
                <w:noProof/>
                <w:spacing w:val="-1"/>
                <w:sz w:val="18"/>
              </w:rPr>
              <w:t xml:space="preserve"> in. or installed in a fully sealed butt joint.</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28</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11.1.1 - Kneeling</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26</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kneeling system that will raise the vehicle within approximately 4 seconds.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29</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12.1 - Wheels &amp; TS 12.2 - Tires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Michelin 265/70R x 19.5 XZE 2+ tubeless radial ply tires with spigot mounted 6.75</w:t>
            </w:r>
            <w:r w:rsidRPr="00F96D48">
              <w:rPr>
                <w:rFonts w:ascii="Arial"/>
                <w:b/>
                <w:noProof/>
                <w:spacing w:val="-1"/>
                <w:sz w:val="18"/>
              </w:rPr>
              <w:t>”</w:t>
            </w:r>
            <w:r w:rsidRPr="00F96D48">
              <w:rPr>
                <w:rFonts w:ascii="Arial"/>
                <w:b/>
                <w:noProof/>
                <w:spacing w:val="-1"/>
                <w:sz w:val="18"/>
              </w:rPr>
              <w:t xml:space="preserve"> steel rims; powder coated silver.</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D4653C" w:rsidRDefault="00D4653C" w:rsidP="00D4653C">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D4653C">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30</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16.1 - Service Brake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29</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Dana disc brakes with ABS on the proposed bus. The disc brake system does not use S-Cam system or automatic slack adjusters and is inherent to New Flyer design.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17.2 - Ramp Interlocks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wheelchair loading system that shall be located at the front door, with the ramp being of a simple hinged, flip-out type design being capable of deploying to the ground at a maximum 1:6 slope.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19.1.1 - Batteries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32</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two (2) 8D Deka low maintenance batteries with 1,400 CCA housed on the rear left of the bus on a slide out carrier.</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20 - Multiplexing</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34</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multiplexing system that is constructed from an array of PLCs, with a central (or master) PLC being supported by multiple slave PLCs. Each PLC has many input and output pins that are connected to various sensors, switches, indicators, LCDs and to other PLCs around the bus. The proposed system is centralized.</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E05790" w:rsidRDefault="00E05790" w:rsidP="00E05790">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E05790">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36.1 - Padded Inserts/Cushioned Seats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44</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Esteban Civic V2 passenger seating.</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2.3.4 - Step Height</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19</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seating layout consisting of 27 seated passengers, or 21 if both wheelchair p</w:t>
            </w:r>
            <w:bookmarkStart w:id="0" w:name="_GoBack"/>
            <w:bookmarkEnd w:id="0"/>
            <w:r w:rsidRPr="00F96D48">
              <w:rPr>
                <w:rFonts w:ascii="Arial"/>
                <w:b/>
                <w:noProof/>
                <w:spacing w:val="-1"/>
                <w:sz w:val="18"/>
              </w:rPr>
              <w:t>ositions are used, and 26 standees.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315949" w:rsidRDefault="00315949" w:rsidP="00315949">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315949">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Pr="00315949" w:rsidRDefault="00315949" w:rsidP="00315949">
            <w:pPr>
              <w:tabs>
                <w:tab w:val="left" w:pos="4936"/>
              </w:tabs>
              <w:spacing w:line="157" w:lineRule="exact"/>
              <w:ind w:left="4775"/>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315949">
              <w:rPr>
                <w:rFonts w:ascii="Arial"/>
                <w:spacing w:val="-1"/>
                <w:sz w:val="18"/>
              </w:rPr>
              <w:t>See response</w:t>
            </w:r>
            <w:r w:rsidR="00B51486" w:rsidRPr="00315949">
              <w:rPr>
                <w:rFonts w:ascii="Arial"/>
                <w:sz w:val="18"/>
              </w:rPr>
              <w:t xml:space="preserve"> </w:t>
            </w:r>
            <w:r w:rsidR="00B51486" w:rsidRPr="00315949">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b/>
                <w:spacing w:val="-1"/>
                <w:sz w:val="18"/>
              </w:rPr>
            </w:pPr>
            <w:r>
              <w:rPr>
                <w:rFonts w:ascii="Arial"/>
                <w:b/>
                <w:spacing w:val="-1"/>
                <w:sz w:val="18"/>
              </w:rPr>
              <w:t>Agency</w:t>
            </w:r>
            <w:r>
              <w:rPr>
                <w:rFonts w:ascii="Arial"/>
                <w:b/>
                <w:spacing w:val="-9"/>
                <w:sz w:val="18"/>
              </w:rPr>
              <w:t xml:space="preserve"> </w:t>
            </w:r>
            <w:r>
              <w:rPr>
                <w:rFonts w:ascii="Arial"/>
                <w:b/>
                <w:spacing w:val="-1"/>
                <w:sz w:val="18"/>
              </w:rPr>
              <w:t>response:</w:t>
            </w:r>
            <w:r w:rsidR="00315949">
              <w:rPr>
                <w:rFonts w:ascii="Arial"/>
                <w:b/>
                <w:spacing w:val="-1"/>
                <w:sz w:val="18"/>
              </w:rPr>
              <w:t xml:space="preserve"> TCPTA would like to explore alternative seating placement/alignment to maximize </w:t>
            </w:r>
          </w:p>
          <w:p w:rsidR="00315949" w:rsidRDefault="00315949" w:rsidP="005208BF">
            <w:pPr>
              <w:pStyle w:val="TableParagraph"/>
              <w:spacing w:before="55"/>
              <w:ind w:left="143"/>
              <w:rPr>
                <w:rFonts w:ascii="Arial"/>
                <w:b/>
                <w:spacing w:val="-1"/>
                <w:sz w:val="18"/>
              </w:rPr>
            </w:pPr>
            <w:r>
              <w:rPr>
                <w:rFonts w:ascii="Arial"/>
                <w:b/>
                <w:spacing w:val="-1"/>
                <w:sz w:val="18"/>
              </w:rPr>
              <w:t xml:space="preserve">                                 Capacity. </w:t>
            </w:r>
          </w:p>
          <w:p w:rsidR="00315949" w:rsidRDefault="00315949" w:rsidP="005208BF">
            <w:pPr>
              <w:pStyle w:val="TableParagraph"/>
              <w:spacing w:before="55"/>
              <w:ind w:left="143"/>
              <w:rPr>
                <w:rFonts w:ascii="Arial" w:eastAsia="Arial" w:hAnsi="Arial" w:cs="Arial"/>
                <w:sz w:val="18"/>
                <w:szCs w:val="18"/>
              </w:rPr>
            </w:pP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36</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10. Structure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25</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structure that is a combination of a robust steel chassis and a purpose-built aluminum body structure, integrated to provide a light-weight yet rigid durable structure. For more information, please refer to the Structure Sales Information Bulletin.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37</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13 - Steering</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27</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ZF 8095 integrally powered, variable ratio steering gear with an air released, fully adjustable steering column.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38</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17.1 - Passenger Door</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32" clear aperture air operated infold entrance door, with green tinted glass. For more information, please refer to the Entrance Door Sales Information Bulletin.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39</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24 - Windshield wipers and Washers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36</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4.46 US gallon washer bottle with remote pump and radial two speed wet arm wipers with heavy duty single motor and intermittent wipers.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40</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26 - Windshield</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full width, 1 piece screen, laminated glass windshield that is 7mm in thickness with green tint and gasket glazed.</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27 - Driver's Side Window</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bonded two sliding locking portions, single glazed 5mm green tinted, toughened glass driver's window.</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28 - Side Windows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38</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tempered, 5mm thick, 44% light transmittance bonded framless and flush framed passenger windows. For more information, please refer to the Windows Sales Information Bulletin.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33 - Exterior Lighting</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separate LED turn indicators and Amber LED clearance marker lights.</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347F4" w:rsidRDefault="00F347F4" w:rsidP="00F347F4">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33.1 - Backup Light/Alarm/Camera</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40</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a backup camera is not available.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864818">
            <w:pPr>
              <w:pStyle w:val="ListParagraph"/>
              <w:numPr>
                <w:ilvl w:val="0"/>
                <w:numId w:val="1"/>
              </w:numPr>
              <w:tabs>
                <w:tab w:val="left" w:pos="2785"/>
              </w:tabs>
              <w:spacing w:before="150" w:line="139" w:lineRule="exact"/>
              <w:rPr>
                <w:rFonts w:ascii="Arial" w:eastAsia="Arial" w:hAnsi="Arial" w:cs="Arial"/>
                <w:sz w:val="18"/>
                <w:szCs w:val="18"/>
              </w:rPr>
            </w:pPr>
            <w:r>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Pr="00F347F4" w:rsidRDefault="00F347F4" w:rsidP="00F347F4">
            <w:pPr>
              <w:tabs>
                <w:tab w:val="left" w:pos="4936"/>
              </w:tabs>
              <w:spacing w:line="157" w:lineRule="exact"/>
              <w:ind w:left="4775"/>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347F4">
              <w:rPr>
                <w:rFonts w:ascii="Arial"/>
                <w:spacing w:val="-1"/>
                <w:sz w:val="18"/>
              </w:rPr>
              <w:t>See response</w:t>
            </w:r>
            <w:r w:rsidR="00B51486" w:rsidRPr="00F347F4">
              <w:rPr>
                <w:rFonts w:ascii="Arial"/>
                <w:sz w:val="18"/>
              </w:rPr>
              <w:t xml:space="preserve"> </w:t>
            </w:r>
            <w:r w:rsidR="00B51486" w:rsidRPr="00F347F4">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r w:rsidR="00F347F4">
              <w:rPr>
                <w:rFonts w:ascii="Arial"/>
                <w:b/>
                <w:spacing w:val="-1"/>
                <w:sz w:val="18"/>
              </w:rPr>
              <w:t xml:space="preserve"> TCPTA would recommend New Flyer </w:t>
            </w:r>
            <w:r w:rsidR="00AE55CB">
              <w:rPr>
                <w:rFonts w:ascii="Arial"/>
                <w:b/>
                <w:spacing w:val="-1"/>
                <w:sz w:val="18"/>
              </w:rPr>
              <w:t xml:space="preserve">investigate alternative or </w:t>
            </w:r>
            <w:proofErr w:type="spellStart"/>
            <w:r w:rsidR="00AE55CB">
              <w:rPr>
                <w:rFonts w:ascii="Arial"/>
                <w:b/>
                <w:spacing w:val="-1"/>
                <w:sz w:val="18"/>
              </w:rPr>
              <w:t>after market</w:t>
            </w:r>
            <w:proofErr w:type="spellEnd"/>
            <w:r w:rsidR="00AE55CB">
              <w:rPr>
                <w:rFonts w:ascii="Arial"/>
                <w:b/>
                <w:spacing w:val="-1"/>
                <w:sz w:val="18"/>
              </w:rPr>
              <w:t xml:space="preserve"> options for backup cameras. TCPTA would recommend New Flyer get with Security Companies such as SEON, Angel </w:t>
            </w:r>
            <w:proofErr w:type="spellStart"/>
            <w:r w:rsidR="00AE55CB">
              <w:rPr>
                <w:rFonts w:ascii="Arial"/>
                <w:b/>
                <w:spacing w:val="-1"/>
                <w:sz w:val="18"/>
              </w:rPr>
              <w:t>Trax</w:t>
            </w:r>
            <w:proofErr w:type="spellEnd"/>
            <w:r w:rsidR="00AE55CB">
              <w:rPr>
                <w:rFonts w:ascii="Arial"/>
                <w:b/>
                <w:spacing w:val="-1"/>
                <w:sz w:val="18"/>
              </w:rPr>
              <w:t xml:space="preserve">, </w:t>
            </w:r>
            <w:proofErr w:type="spellStart"/>
            <w:r w:rsidR="00AE55CB">
              <w:rPr>
                <w:rFonts w:ascii="Arial"/>
                <w:b/>
                <w:spacing w:val="-1"/>
                <w:sz w:val="18"/>
              </w:rPr>
              <w:t>etc</w:t>
            </w:r>
            <w:proofErr w:type="spellEnd"/>
            <w:r w:rsidR="00AE55CB">
              <w:rPr>
                <w:rFonts w:ascii="Arial"/>
                <w:b/>
                <w:spacing w:val="-1"/>
                <w:sz w:val="18"/>
              </w:rPr>
              <w:t xml:space="preserve"> to seek alternatives and include in the bid.</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33.4 - Headlights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headlights that are a combination of LED daytime running/position lights and main beam bi-halogen.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46</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39.1 - Loading System</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45</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New Flyer</w:t>
            </w:r>
            <w:r w:rsidRPr="00F96D48">
              <w:rPr>
                <w:rFonts w:ascii="Arial"/>
                <w:b/>
                <w:noProof/>
                <w:spacing w:val="-1"/>
                <w:sz w:val="18"/>
              </w:rPr>
              <w:t>’</w:t>
            </w:r>
            <w:r w:rsidRPr="00F96D48">
              <w:rPr>
                <w:rFonts w:ascii="Arial"/>
                <w:b/>
                <w:noProof/>
                <w:spacing w:val="-1"/>
                <w:sz w:val="18"/>
              </w:rPr>
              <w:t>s patented self contained, modular Flip Type ramp that is stored in a stainless steel box mounted into the floor of the bus.  The non-skid, 3/16 inch thick aluminum ramp platform has a clear width of 32.25 inches, a length of 47.6 inches and is rated at 660 lbs. with a deployment angle ratio of 1:7.  The ramp exceeds ADA requirements. For more information, please refer to the attached Wheelchair Ramp Sales Information Bulletin.</w:t>
            </w:r>
          </w:p>
          <w:p w:rsidR="00B51486" w:rsidRDefault="00B51486" w:rsidP="005208BF">
            <w:pPr>
              <w:pStyle w:val="TableParagraph"/>
              <w:spacing w:before="54"/>
              <w:ind w:left="143"/>
              <w:rPr>
                <w:rFonts w:ascii="Arial" w:eastAsia="Arial" w:hAnsi="Arial" w:cs="Arial"/>
                <w:sz w:val="18"/>
                <w:szCs w:val="18"/>
              </w:rPr>
            </w:pP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47</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41.3.1 - Speakers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46</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PA system with a boom microphone, four (4) speakers to the passenger area and one (1) ADA compliant speaker to the exterior. The proposed system is active through the master switch.</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48</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3.4 - Operating Range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22</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its goal is to achieve the highest mileage possible. However, driver habits, terrain, environmental conditions, plus the operating profile directly impact fuel economy. As New Flyer has no control over these factors, it cannot guarantee mileage.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49</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4.1.1 - Propulsion System Service</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23</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an engine belt guard that is stainless steel and not powder coated yellow.</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50</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7 - Retarder</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24</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a retarder with 1st, 2nd and 3rd stages that are all on brake pedal depression. This is the least aggressive and recommended retarder setting, as these vehilces are light and retarder off brake is very aggressive.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51</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21.1 - Drivetrain Level</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34</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the drivetrain level components all communicate on the CAN network, the communications protocol is J1939, they are not backward compatible and they are powered to the ignition to insure communication exists between all components any time the ignition is switched to the on position.</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52</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33.3 - Turn Signals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this functionality would have to be discussed at the PPM as there are certain State and Federal regulations that would need to be complied with.</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53</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33.5 - Brake Lights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41</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an additional 4 inch yellow LED light is not available.</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54</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34.3 - Passenger First Row Lights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42</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4"/>
              <w:ind w:left="143"/>
              <w:rPr>
                <w:rFonts w:ascii="Arial" w:eastAsia="Arial" w:hAnsi="Arial" w:cs="Arial"/>
                <w:sz w:val="18"/>
                <w:szCs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acknowledgement that it does not provide a night run/night park functionality, as the bus is either on or off.</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rsidP="00864818">
      <w:pPr>
        <w:pStyle w:val="Heading1"/>
        <w:spacing w:before="64"/>
        <w:ind w:left="100"/>
        <w:rPr>
          <w:b w:val="0"/>
          <w:bCs w:val="0"/>
        </w:rPr>
      </w:pPr>
      <w:r>
        <w:lastRenderedPageBreak/>
        <w:t>Request</w:t>
      </w:r>
      <w:r>
        <w:rPr>
          <w:spacing w:val="-7"/>
        </w:rPr>
        <w:t xml:space="preserve"> </w:t>
      </w:r>
      <w:r>
        <w:t>for</w:t>
      </w:r>
      <w:r>
        <w:rPr>
          <w:spacing w:val="-9"/>
        </w:rPr>
        <w:t xml:space="preserve"> </w:t>
      </w:r>
      <w:r>
        <w:t>Pre-Offer</w:t>
      </w:r>
      <w:r>
        <w:rPr>
          <w:spacing w:val="-9"/>
        </w:rPr>
        <w:t xml:space="preserve"> </w:t>
      </w:r>
      <w:r>
        <w:t>Change</w:t>
      </w:r>
      <w:r>
        <w:rPr>
          <w:spacing w:val="-8"/>
        </w:rPr>
        <w:t xml:space="preserve"> </w:t>
      </w:r>
      <w:r>
        <w:t>or</w:t>
      </w:r>
      <w:r>
        <w:rPr>
          <w:spacing w:val="-9"/>
        </w:rPr>
        <w:t xml:space="preserve"> </w:t>
      </w:r>
      <w:r>
        <w:t>Approved</w:t>
      </w:r>
      <w:r>
        <w:rPr>
          <w:spacing w:val="-7"/>
        </w:rPr>
        <w:t xml:space="preserve"> </w:t>
      </w:r>
      <w:r>
        <w:t>Equal</w:t>
      </w:r>
    </w:p>
    <w:p w:rsidR="00B51486" w:rsidRDefault="00B51486" w:rsidP="00864818">
      <w:pPr>
        <w:pStyle w:val="BodyText"/>
        <w:spacing w:before="59"/>
        <w:ind w:left="100" w:right="196"/>
      </w:pPr>
      <w:r>
        <w:t>This</w:t>
      </w:r>
      <w:r>
        <w:rPr>
          <w:spacing w:val="-6"/>
        </w:rPr>
        <w:t xml:space="preserve"> </w:t>
      </w:r>
      <w:r>
        <w:t>form</w:t>
      </w:r>
      <w:r>
        <w:rPr>
          <w:spacing w:val="-6"/>
        </w:rPr>
        <w:t xml:space="preserve"> </w:t>
      </w:r>
      <w:r>
        <w:rPr>
          <w:spacing w:val="-1"/>
        </w:rPr>
        <w:t>must</w:t>
      </w:r>
      <w:r>
        <w:rPr>
          <w:spacing w:val="-6"/>
        </w:rPr>
        <w:t xml:space="preserve"> </w:t>
      </w:r>
      <w:r>
        <w:t>be</w:t>
      </w:r>
      <w:r>
        <w:rPr>
          <w:spacing w:val="-5"/>
        </w:rPr>
        <w:t xml:space="preserve"> </w:t>
      </w:r>
      <w:r>
        <w:t>used</w:t>
      </w:r>
      <w:r>
        <w:rPr>
          <w:spacing w:val="-5"/>
        </w:rPr>
        <w:t xml:space="preserve"> </w:t>
      </w:r>
      <w:r>
        <w:t>for</w:t>
      </w:r>
      <w:r>
        <w:rPr>
          <w:spacing w:val="-6"/>
        </w:rPr>
        <w:t xml:space="preserve"> </w:t>
      </w:r>
      <w:r>
        <w:t>requested</w:t>
      </w:r>
      <w:r>
        <w:rPr>
          <w:spacing w:val="-5"/>
        </w:rPr>
        <w:t xml:space="preserve"> </w:t>
      </w:r>
      <w:r>
        <w:t>clarifications,</w:t>
      </w:r>
      <w:r>
        <w:rPr>
          <w:spacing w:val="-6"/>
        </w:rPr>
        <w:t xml:space="preserve"> </w:t>
      </w:r>
      <w:r>
        <w:t>changes,</w:t>
      </w:r>
      <w:r>
        <w:rPr>
          <w:spacing w:val="-6"/>
        </w:rPr>
        <w:t xml:space="preserve"> </w:t>
      </w:r>
      <w:r>
        <w:t>substitutes</w:t>
      </w:r>
      <w:r>
        <w:rPr>
          <w:spacing w:val="-4"/>
        </w:rPr>
        <w:t xml:space="preserve"> </w:t>
      </w:r>
      <w:r>
        <w:t>or</w:t>
      </w:r>
      <w:r>
        <w:rPr>
          <w:spacing w:val="-6"/>
        </w:rPr>
        <w:t xml:space="preserve"> </w:t>
      </w:r>
      <w:r>
        <w:t>approval</w:t>
      </w:r>
      <w:r>
        <w:rPr>
          <w:spacing w:val="-5"/>
        </w:rPr>
        <w:t xml:space="preserve"> </w:t>
      </w:r>
      <w:r>
        <w:t>of</w:t>
      </w:r>
      <w:r>
        <w:rPr>
          <w:spacing w:val="-5"/>
        </w:rPr>
        <w:t xml:space="preserve"> </w:t>
      </w:r>
      <w:r>
        <w:t>items</w:t>
      </w:r>
      <w:r>
        <w:rPr>
          <w:spacing w:val="-6"/>
        </w:rPr>
        <w:t xml:space="preserve"> </w:t>
      </w:r>
      <w:r>
        <w:t>equal</w:t>
      </w:r>
      <w:r>
        <w:rPr>
          <w:spacing w:val="-5"/>
        </w:rPr>
        <w:t xml:space="preserve"> </w:t>
      </w:r>
      <w:r>
        <w:t>to</w:t>
      </w:r>
      <w:r>
        <w:rPr>
          <w:spacing w:val="-5"/>
        </w:rPr>
        <w:t xml:space="preserve"> </w:t>
      </w:r>
      <w:r>
        <w:rPr>
          <w:spacing w:val="-1"/>
        </w:rPr>
        <w:t>items</w:t>
      </w:r>
      <w:r>
        <w:rPr>
          <w:spacing w:val="26"/>
          <w:w w:val="99"/>
        </w:rPr>
        <w:t xml:space="preserve"> </w:t>
      </w:r>
      <w:r>
        <w:t>specified</w:t>
      </w:r>
      <w:r>
        <w:rPr>
          <w:spacing w:val="-4"/>
        </w:rPr>
        <w:t xml:space="preserve"> </w:t>
      </w:r>
      <w:r>
        <w:t>with</w:t>
      </w:r>
      <w:r>
        <w:rPr>
          <w:spacing w:val="-4"/>
        </w:rPr>
        <w:t xml:space="preserve"> </w:t>
      </w:r>
      <w:r>
        <w:t>a</w:t>
      </w:r>
      <w:r>
        <w:rPr>
          <w:spacing w:val="-4"/>
        </w:rPr>
        <w:t xml:space="preserve"> </w:t>
      </w:r>
      <w:r>
        <w:t>brand</w:t>
      </w:r>
      <w:r>
        <w:rPr>
          <w:spacing w:val="-4"/>
        </w:rPr>
        <w:t xml:space="preserve"> </w:t>
      </w:r>
      <w:r>
        <w:rPr>
          <w:spacing w:val="-1"/>
        </w:rPr>
        <w:t>name</w:t>
      </w:r>
      <w:r>
        <w:rPr>
          <w:spacing w:val="-4"/>
        </w:rPr>
        <w:t xml:space="preserve"> </w:t>
      </w:r>
      <w:r>
        <w:t>and</w:t>
      </w:r>
      <w:r>
        <w:rPr>
          <w:spacing w:val="-3"/>
        </w:rPr>
        <w:t xml:space="preserve"> </w:t>
      </w:r>
      <w:r>
        <w:rPr>
          <w:spacing w:val="-1"/>
        </w:rPr>
        <w:t>must</w:t>
      </w:r>
      <w:r>
        <w:rPr>
          <w:spacing w:val="-4"/>
        </w:rPr>
        <w:t xml:space="preserve"> </w:t>
      </w:r>
      <w:r>
        <w:t>be</w:t>
      </w:r>
      <w:r>
        <w:rPr>
          <w:spacing w:val="-4"/>
        </w:rPr>
        <w:t xml:space="preserve"> </w:t>
      </w:r>
      <w:r>
        <w:rPr>
          <w:spacing w:val="-1"/>
        </w:rPr>
        <w:t>submitted</w:t>
      </w:r>
      <w:r>
        <w:rPr>
          <w:spacing w:val="-3"/>
        </w:rPr>
        <w:t xml:space="preserve"> </w:t>
      </w:r>
      <w:r>
        <w:t>as</w:t>
      </w:r>
      <w:r>
        <w:rPr>
          <w:spacing w:val="-7"/>
        </w:rPr>
        <w:t xml:space="preserve"> </w:t>
      </w:r>
      <w:r>
        <w:t>far</w:t>
      </w:r>
      <w:r>
        <w:rPr>
          <w:spacing w:val="-4"/>
        </w:rPr>
        <w:t xml:space="preserve"> </w:t>
      </w:r>
      <w:r>
        <w:t>in</w:t>
      </w:r>
      <w:r>
        <w:rPr>
          <w:spacing w:val="-4"/>
        </w:rPr>
        <w:t xml:space="preserve"> </w:t>
      </w:r>
      <w:r>
        <w:t>advance</w:t>
      </w:r>
      <w:r>
        <w:rPr>
          <w:spacing w:val="-4"/>
        </w:rPr>
        <w:t xml:space="preserve"> </w:t>
      </w:r>
      <w:r>
        <w:t>of</w:t>
      </w:r>
      <w:r>
        <w:rPr>
          <w:spacing w:val="-4"/>
        </w:rPr>
        <w:t xml:space="preserve"> </w:t>
      </w:r>
      <w:r>
        <w:t>the</w:t>
      </w:r>
      <w:r>
        <w:rPr>
          <w:spacing w:val="-4"/>
        </w:rPr>
        <w:t xml:space="preserve"> </w:t>
      </w:r>
      <w:r>
        <w:t>Due</w:t>
      </w:r>
      <w:r>
        <w:rPr>
          <w:spacing w:val="-4"/>
        </w:rPr>
        <w:t xml:space="preserve"> </w:t>
      </w:r>
      <w:r>
        <w:t>Date,</w:t>
      </w:r>
      <w:r>
        <w:rPr>
          <w:spacing w:val="-5"/>
        </w:rPr>
        <w:t xml:space="preserve"> </w:t>
      </w:r>
      <w:r>
        <w:t>as</w:t>
      </w:r>
      <w:r>
        <w:rPr>
          <w:spacing w:val="-4"/>
        </w:rPr>
        <w:t xml:space="preserve"> </w:t>
      </w:r>
      <w:r>
        <w:t>specified</w:t>
      </w:r>
      <w:r>
        <w:rPr>
          <w:spacing w:val="-3"/>
        </w:rPr>
        <w:t xml:space="preserve"> </w:t>
      </w:r>
      <w:r>
        <w:t>in</w:t>
      </w:r>
      <w:r>
        <w:rPr>
          <w:spacing w:val="25"/>
          <w:w w:val="99"/>
        </w:rPr>
        <w:t xml:space="preserve"> </w:t>
      </w:r>
      <w:r>
        <w:t>“Questions,</w:t>
      </w:r>
      <w:r>
        <w:rPr>
          <w:spacing w:val="-13"/>
        </w:rPr>
        <w:t xml:space="preserve"> </w:t>
      </w:r>
      <w:r>
        <w:t>Clarifications</w:t>
      </w:r>
      <w:r>
        <w:rPr>
          <w:spacing w:val="-12"/>
        </w:rPr>
        <w:t xml:space="preserve"> </w:t>
      </w:r>
      <w:r>
        <w:t>and</w:t>
      </w:r>
      <w:r>
        <w:rPr>
          <w:spacing w:val="-12"/>
        </w:rPr>
        <w:t xml:space="preserve"> </w:t>
      </w:r>
      <w:r>
        <w:t>Omissions.”</w:t>
      </w:r>
    </w:p>
    <w:p w:rsidR="00B51486" w:rsidRDefault="00B51486" w:rsidP="00864818">
      <w:pPr>
        <w:spacing w:before="10"/>
        <w:rPr>
          <w:rFonts w:ascii="Times New Roman" w:eastAsia="Times New Roman" w:hAnsi="Times New Roman" w:cs="Times New Roman"/>
          <w:sz w:val="20"/>
          <w:szCs w:val="20"/>
        </w:rPr>
      </w:pPr>
    </w:p>
    <w:p w:rsidR="00B51486" w:rsidRDefault="00B51486" w:rsidP="00864818">
      <w:pPr>
        <w:pStyle w:val="BodyText"/>
        <w:ind w:left="100"/>
      </w:pPr>
      <w:r>
        <w:rPr>
          <w:color w:val="C00000"/>
        </w:rPr>
        <w:t>Tuscaloosa Transit Authority</w:t>
      </w:r>
    </w:p>
    <w:p w:rsidR="00B51486" w:rsidRDefault="00B51486" w:rsidP="00864818">
      <w:pPr>
        <w:pStyle w:val="BodyText"/>
        <w:ind w:left="100"/>
      </w:pPr>
      <w:r>
        <w:rPr>
          <w:color w:val="C00000"/>
          <w:spacing w:val="-1"/>
        </w:rPr>
        <w:t>Request for Proposal #21-2016-PATA-1 – Low Floor Heavy Duty Transit Buses</w:t>
      </w:r>
    </w:p>
    <w:p w:rsidR="00B51486" w:rsidRDefault="00B51486" w:rsidP="00864818">
      <w:pPr>
        <w:rPr>
          <w:rFonts w:ascii="Times New Roman" w:eastAsia="Times New Roman" w:hAnsi="Times New Roman" w:cs="Times New Roman"/>
          <w:sz w:val="21"/>
          <w:szCs w:val="21"/>
        </w:rPr>
      </w:pPr>
    </w:p>
    <w:tbl>
      <w:tblPr>
        <w:tblW w:w="0" w:type="auto"/>
        <w:tblInd w:w="269" w:type="dxa"/>
        <w:tblLayout w:type="fixed"/>
        <w:tblCellMar>
          <w:left w:w="0" w:type="dxa"/>
          <w:right w:w="0" w:type="dxa"/>
        </w:tblCellMar>
        <w:tblLook w:val="01E0" w:firstRow="1" w:lastRow="1" w:firstColumn="1" w:lastColumn="1" w:noHBand="0" w:noVBand="0"/>
      </w:tblPr>
      <w:tblGrid>
        <w:gridCol w:w="9361"/>
      </w:tblGrid>
      <w:tr w:rsidR="00B51486" w:rsidTr="005208BF">
        <w:trPr>
          <w:trHeight w:hRule="exact" w:val="1486"/>
        </w:trPr>
        <w:tc>
          <w:tcPr>
            <w:tcW w:w="9361" w:type="dxa"/>
            <w:tcBorders>
              <w:top w:val="single" w:sz="5" w:space="0" w:color="000000"/>
              <w:left w:val="single" w:sz="7" w:space="0" w:color="000000"/>
              <w:bottom w:val="single" w:sz="7" w:space="0" w:color="000000"/>
              <w:right w:val="single" w:sz="10" w:space="0" w:color="000000"/>
            </w:tcBorders>
          </w:tcPr>
          <w:p w:rsidR="00B51486" w:rsidRDefault="00B51486" w:rsidP="005208BF">
            <w:pPr>
              <w:pStyle w:val="TableParagraph"/>
              <w:spacing w:before="115"/>
              <w:ind w:left="140"/>
              <w:rPr>
                <w:rFonts w:ascii="Arial" w:eastAsia="Arial" w:hAnsi="Arial" w:cs="Arial"/>
                <w:sz w:val="18"/>
                <w:szCs w:val="18"/>
              </w:rPr>
            </w:pPr>
            <w:r>
              <w:rPr>
                <w:rFonts w:ascii="Arial"/>
                <w:b/>
                <w:spacing w:val="-1"/>
                <w:sz w:val="18"/>
              </w:rPr>
              <w:t>Request</w:t>
            </w:r>
            <w:r>
              <w:rPr>
                <w:rFonts w:ascii="Arial"/>
                <w:b/>
                <w:spacing w:val="-2"/>
                <w:sz w:val="18"/>
              </w:rPr>
              <w:t xml:space="preserve"> </w:t>
            </w:r>
            <w:r>
              <w:rPr>
                <w:rFonts w:ascii="Arial"/>
                <w:b/>
                <w:spacing w:val="-1"/>
                <w:sz w:val="18"/>
              </w:rPr>
              <w:t xml:space="preserve">#: </w:t>
            </w:r>
            <w:r w:rsidRPr="00F96D48">
              <w:rPr>
                <w:rFonts w:ascii="Arial"/>
                <w:b/>
                <w:noProof/>
                <w:spacing w:val="-1"/>
                <w:sz w:val="18"/>
              </w:rPr>
              <w:t>55</w:t>
            </w:r>
          </w:p>
          <w:p w:rsidR="00B51486" w:rsidRDefault="00B51486" w:rsidP="005208BF">
            <w:pPr>
              <w:pStyle w:val="TableParagraph"/>
              <w:spacing w:before="5"/>
              <w:rPr>
                <w:rFonts w:ascii="Times New Roman" w:eastAsia="Times New Roman" w:hAnsi="Times New Roman" w:cs="Times New Roman"/>
                <w:sz w:val="24"/>
                <w:szCs w:val="24"/>
              </w:rPr>
            </w:pPr>
          </w:p>
          <w:p w:rsidR="00B51486" w:rsidRDefault="00B51486" w:rsidP="00FA1CBF">
            <w:pPr>
              <w:pStyle w:val="TableParagraph"/>
              <w:spacing w:line="288" w:lineRule="auto"/>
              <w:ind w:left="140" w:right="189"/>
              <w:rPr>
                <w:rFonts w:ascii="Arial"/>
                <w:b/>
                <w:spacing w:val="26"/>
                <w:sz w:val="18"/>
              </w:rPr>
            </w:pPr>
            <w:r>
              <w:rPr>
                <w:rFonts w:ascii="Arial"/>
                <w:b/>
                <w:spacing w:val="-1"/>
                <w:sz w:val="18"/>
              </w:rPr>
              <w:t>Proposer:</w:t>
            </w:r>
            <w:r>
              <w:rPr>
                <w:rFonts w:ascii="Arial"/>
                <w:b/>
                <w:spacing w:val="26"/>
                <w:sz w:val="18"/>
              </w:rPr>
              <w:t xml:space="preserve"> New Flyer of America Inc.</w:t>
            </w:r>
          </w:p>
          <w:p w:rsidR="00B51486" w:rsidRDefault="00B51486" w:rsidP="00FA1CBF">
            <w:pPr>
              <w:pStyle w:val="TableParagraph"/>
              <w:spacing w:line="288" w:lineRule="auto"/>
              <w:ind w:left="140" w:right="189"/>
              <w:rPr>
                <w:rFonts w:ascii="Arial"/>
                <w:b/>
                <w:w w:val="99"/>
                <w:sz w:val="18"/>
              </w:rPr>
            </w:pPr>
            <w:r>
              <w:rPr>
                <w:rFonts w:ascii="Arial"/>
                <w:b/>
                <w:sz w:val="18"/>
              </w:rPr>
              <w:t>RFP</w:t>
            </w:r>
            <w:r>
              <w:rPr>
                <w:rFonts w:ascii="Arial"/>
                <w:b/>
                <w:spacing w:val="-8"/>
                <w:sz w:val="18"/>
              </w:rPr>
              <w:t xml:space="preserve"> </w:t>
            </w:r>
            <w:r>
              <w:rPr>
                <w:rFonts w:ascii="Arial"/>
                <w:b/>
                <w:sz w:val="18"/>
              </w:rPr>
              <w:t>Section:</w:t>
            </w:r>
            <w:r>
              <w:rPr>
                <w:rFonts w:ascii="Arial"/>
                <w:b/>
                <w:w w:val="99"/>
                <w:sz w:val="18"/>
              </w:rPr>
              <w:t xml:space="preserve"> </w:t>
            </w:r>
            <w:r w:rsidRPr="00F96D48">
              <w:rPr>
                <w:rFonts w:ascii="Arial"/>
                <w:b/>
                <w:noProof/>
                <w:w w:val="99"/>
                <w:sz w:val="18"/>
              </w:rPr>
              <w:t>TS 34.3 - Passenger Dimming Second Row Lights</w:t>
            </w:r>
          </w:p>
          <w:p w:rsidR="00B51486" w:rsidRDefault="00B51486" w:rsidP="00FA1CBF">
            <w:pPr>
              <w:pStyle w:val="TableParagraph"/>
              <w:spacing w:line="288" w:lineRule="auto"/>
              <w:ind w:left="140" w:right="189"/>
              <w:rPr>
                <w:rFonts w:ascii="Arial" w:eastAsia="Arial" w:hAnsi="Arial" w:cs="Arial"/>
                <w:sz w:val="18"/>
                <w:szCs w:val="18"/>
              </w:rPr>
            </w:pPr>
            <w:r>
              <w:rPr>
                <w:rFonts w:ascii="Arial"/>
                <w:b/>
                <w:spacing w:val="-1"/>
                <w:sz w:val="18"/>
              </w:rPr>
              <w:t xml:space="preserve">Page: </w:t>
            </w:r>
            <w:r w:rsidRPr="00F96D48">
              <w:rPr>
                <w:rFonts w:ascii="Arial"/>
                <w:b/>
                <w:noProof/>
                <w:spacing w:val="-1"/>
                <w:sz w:val="18"/>
              </w:rPr>
              <w:t>42</w:t>
            </w:r>
          </w:p>
        </w:tc>
      </w:tr>
      <w:tr w:rsidR="00B51486" w:rsidTr="005208BF">
        <w:trPr>
          <w:trHeight w:hRule="exact" w:val="2174"/>
        </w:trPr>
        <w:tc>
          <w:tcPr>
            <w:tcW w:w="9361" w:type="dxa"/>
            <w:tcBorders>
              <w:top w:val="single" w:sz="7" w:space="0" w:color="000000"/>
              <w:left w:val="single" w:sz="7" w:space="0" w:color="000000"/>
              <w:bottom w:val="single" w:sz="7" w:space="0" w:color="000000"/>
              <w:right w:val="single" w:sz="10" w:space="0" w:color="000000"/>
            </w:tcBorders>
          </w:tcPr>
          <w:p w:rsidR="00B51486" w:rsidRPr="00F96D48" w:rsidRDefault="00B51486" w:rsidP="00FA1CBF">
            <w:pPr>
              <w:pStyle w:val="TableParagraph"/>
              <w:spacing w:before="54"/>
              <w:ind w:left="143"/>
              <w:rPr>
                <w:rFonts w:ascii="Arial"/>
                <w:b/>
                <w:noProof/>
                <w:spacing w:val="-1"/>
                <w:sz w:val="18"/>
              </w:rPr>
            </w:pPr>
            <w:r>
              <w:rPr>
                <w:rFonts w:ascii="Arial"/>
                <w:b/>
                <w:spacing w:val="-1"/>
                <w:sz w:val="18"/>
              </w:rPr>
              <w:t>Questions/clarification</w:t>
            </w:r>
            <w:r>
              <w:rPr>
                <w:rFonts w:ascii="Arial"/>
                <w:b/>
                <w:spacing w:val="-9"/>
                <w:sz w:val="18"/>
              </w:rPr>
              <w:t xml:space="preserve"> </w:t>
            </w:r>
            <w:r>
              <w:rPr>
                <w:rFonts w:ascii="Arial"/>
                <w:b/>
                <w:sz w:val="18"/>
              </w:rPr>
              <w:t>or</w:t>
            </w:r>
            <w:r>
              <w:rPr>
                <w:rFonts w:ascii="Arial"/>
                <w:b/>
                <w:spacing w:val="-9"/>
                <w:sz w:val="18"/>
              </w:rPr>
              <w:t xml:space="preserve"> </w:t>
            </w:r>
            <w:r>
              <w:rPr>
                <w:rFonts w:ascii="Arial"/>
                <w:b/>
                <w:spacing w:val="-1"/>
                <w:sz w:val="18"/>
              </w:rPr>
              <w:t>approved</w:t>
            </w:r>
            <w:r>
              <w:rPr>
                <w:rFonts w:ascii="Arial"/>
                <w:b/>
                <w:spacing w:val="-8"/>
                <w:sz w:val="18"/>
              </w:rPr>
              <w:t xml:space="preserve"> </w:t>
            </w:r>
            <w:r>
              <w:rPr>
                <w:rFonts w:ascii="Arial"/>
                <w:b/>
                <w:spacing w:val="-1"/>
                <w:sz w:val="18"/>
              </w:rPr>
              <w:t xml:space="preserve">equal: </w:t>
            </w:r>
            <w:r w:rsidRPr="00F96D48">
              <w:rPr>
                <w:rFonts w:ascii="Arial"/>
                <w:b/>
                <w:noProof/>
                <w:spacing w:val="-1"/>
                <w:sz w:val="18"/>
              </w:rPr>
              <w:t>New Flyer requests approval to provide lights that are all dimmable at the individual sections. The first back on the curbside and streetside of the bus turn off when the entrance door closes. Additional switches on the dash are available to turn on the curbside and streetside passenger lights separately.</w:t>
            </w:r>
          </w:p>
          <w:p w:rsidR="00B51486" w:rsidRDefault="00B51486" w:rsidP="005208BF">
            <w:pPr>
              <w:pStyle w:val="TableParagraph"/>
              <w:spacing w:before="54"/>
              <w:ind w:left="143"/>
              <w:rPr>
                <w:rFonts w:ascii="Arial" w:eastAsia="Arial" w:hAnsi="Arial" w:cs="Arial"/>
                <w:sz w:val="18"/>
                <w:szCs w:val="18"/>
              </w:rPr>
            </w:pPr>
            <w:r w:rsidRPr="00F96D48">
              <w:rPr>
                <w:rFonts w:ascii="Arial"/>
                <w:b/>
                <w:noProof/>
                <w:spacing w:val="-1"/>
                <w:sz w:val="18"/>
              </w:rPr>
              <w:t>New Flyer requests acknowledgement that a night run or night park function is not available as there is on or off only.</w:t>
            </w:r>
          </w:p>
        </w:tc>
      </w:tr>
      <w:tr w:rsidR="00B51486" w:rsidTr="005208BF">
        <w:trPr>
          <w:trHeight w:hRule="exact" w:val="882"/>
        </w:trPr>
        <w:tc>
          <w:tcPr>
            <w:tcW w:w="9361" w:type="dxa"/>
            <w:tcBorders>
              <w:top w:val="single" w:sz="7" w:space="0" w:color="000000"/>
              <w:left w:val="single" w:sz="7" w:space="0" w:color="000000"/>
              <w:bottom w:val="single" w:sz="7" w:space="0" w:color="000000"/>
              <w:right w:val="single" w:sz="10" w:space="0" w:color="000000"/>
            </w:tcBorders>
          </w:tcPr>
          <w:p w:rsidR="00B51486" w:rsidRPr="00F01B72" w:rsidRDefault="00F01B72" w:rsidP="00F01B72">
            <w:pPr>
              <w:tabs>
                <w:tab w:val="left" w:pos="2785"/>
              </w:tabs>
              <w:spacing w:before="150" w:line="139" w:lineRule="exact"/>
              <w:ind w:left="2624"/>
              <w:rPr>
                <w:rFonts w:ascii="Arial" w:eastAsia="Arial" w:hAnsi="Arial" w:cs="Arial"/>
                <w:sz w:val="18"/>
                <w:szCs w:val="18"/>
              </w:rPr>
            </w:pPr>
            <w:r>
              <w:rPr>
                <w:rFonts w:ascii="Arial" w:eastAsia="Arial" w:hAnsi="Arial" w:cs="Arial"/>
                <w:sz w:val="18"/>
                <w:szCs w:val="18"/>
                <w:highlight w:val="lightGray"/>
              </w:rPr>
              <w:t>X</w:t>
            </w:r>
            <w:r>
              <w:rPr>
                <w:rFonts w:ascii="Arial" w:eastAsia="Arial" w:hAnsi="Arial" w:cs="Arial"/>
                <w:sz w:val="18"/>
                <w:szCs w:val="18"/>
              </w:rPr>
              <w:t xml:space="preserve"> </w:t>
            </w:r>
            <w:r w:rsidR="00B51486" w:rsidRPr="00F01B72">
              <w:rPr>
                <w:rFonts w:ascii="Arial"/>
                <w:spacing w:val="-1"/>
                <w:sz w:val="18"/>
              </w:rPr>
              <w:t>Approved</w:t>
            </w:r>
          </w:p>
          <w:p w:rsidR="00B51486" w:rsidRDefault="00B51486" w:rsidP="005208BF">
            <w:pPr>
              <w:pStyle w:val="TableParagraph"/>
              <w:tabs>
                <w:tab w:val="left" w:pos="4776"/>
              </w:tabs>
              <w:spacing w:line="170" w:lineRule="exact"/>
              <w:ind w:left="143"/>
              <w:rPr>
                <w:rFonts w:ascii="Arial" w:eastAsia="Arial" w:hAnsi="Arial" w:cs="Arial"/>
                <w:sz w:val="18"/>
                <w:szCs w:val="18"/>
              </w:rPr>
            </w:pPr>
            <w:r>
              <w:rPr>
                <w:rFonts w:ascii="Arial" w:eastAsia="Arial" w:hAnsi="Arial" w:cs="Arial"/>
                <w:b/>
                <w:bCs/>
                <w:spacing w:val="-1"/>
                <w:sz w:val="18"/>
                <w:szCs w:val="18"/>
              </w:rPr>
              <w:t>Agency</w:t>
            </w:r>
            <w:r>
              <w:rPr>
                <w:rFonts w:ascii="Arial" w:eastAsia="Arial" w:hAnsi="Arial" w:cs="Arial"/>
                <w:b/>
                <w:bCs/>
                <w:spacing w:val="-10"/>
                <w:sz w:val="18"/>
                <w:szCs w:val="18"/>
              </w:rPr>
              <w:t xml:space="preserve"> </w:t>
            </w:r>
            <w:r>
              <w:rPr>
                <w:rFonts w:ascii="Arial" w:eastAsia="Arial" w:hAnsi="Arial" w:cs="Arial"/>
                <w:b/>
                <w:bCs/>
                <w:spacing w:val="-1"/>
                <w:sz w:val="18"/>
                <w:szCs w:val="18"/>
              </w:rPr>
              <w:t>action:</w:t>
            </w:r>
            <w:r>
              <w:rPr>
                <w:rFonts w:ascii="Arial" w:eastAsia="Arial" w:hAnsi="Arial" w:cs="Arial"/>
                <w:b/>
                <w:bCs/>
                <w:spacing w:val="-1"/>
                <w:sz w:val="18"/>
                <w:szCs w:val="18"/>
              </w:rPr>
              <w:tab/>
            </w:r>
            <w:r>
              <w:rPr>
                <w:rFonts w:ascii="Arial" w:eastAsia="Arial" w:hAnsi="Arial" w:cs="Arial"/>
                <w:position w:val="6"/>
                <w:sz w:val="18"/>
                <w:szCs w:val="18"/>
              </w:rPr>
              <w:t xml:space="preserve">□ </w:t>
            </w:r>
            <w:r>
              <w:rPr>
                <w:rFonts w:ascii="Arial" w:eastAsia="Arial" w:hAnsi="Arial" w:cs="Arial"/>
                <w:spacing w:val="-1"/>
                <w:position w:val="6"/>
                <w:sz w:val="18"/>
                <w:szCs w:val="18"/>
              </w:rPr>
              <w:t>Denied</w:t>
            </w:r>
          </w:p>
          <w:p w:rsidR="00B51486" w:rsidRDefault="00B51486" w:rsidP="00864818">
            <w:pPr>
              <w:pStyle w:val="ListParagraph"/>
              <w:numPr>
                <w:ilvl w:val="1"/>
                <w:numId w:val="1"/>
              </w:numPr>
              <w:tabs>
                <w:tab w:val="left" w:pos="4936"/>
              </w:tabs>
              <w:spacing w:line="157" w:lineRule="exact"/>
              <w:ind w:hanging="159"/>
              <w:rPr>
                <w:rFonts w:ascii="Arial" w:eastAsia="Arial" w:hAnsi="Arial" w:cs="Arial"/>
                <w:sz w:val="18"/>
                <w:szCs w:val="18"/>
              </w:rPr>
            </w:pPr>
            <w:r>
              <w:rPr>
                <w:rFonts w:ascii="Arial"/>
                <w:spacing w:val="-1"/>
                <w:sz w:val="18"/>
              </w:rPr>
              <w:t>See response</w:t>
            </w:r>
            <w:r>
              <w:rPr>
                <w:rFonts w:ascii="Arial"/>
                <w:sz w:val="18"/>
              </w:rPr>
              <w:t xml:space="preserve"> </w:t>
            </w:r>
            <w:r>
              <w:rPr>
                <w:rFonts w:ascii="Arial"/>
                <w:spacing w:val="-1"/>
                <w:sz w:val="18"/>
              </w:rPr>
              <w:t>below</w:t>
            </w:r>
          </w:p>
          <w:p w:rsidR="00B51486" w:rsidRDefault="00B51486" w:rsidP="00864818">
            <w:pPr>
              <w:pStyle w:val="ListParagraph"/>
              <w:numPr>
                <w:ilvl w:val="0"/>
                <w:numId w:val="1"/>
              </w:numPr>
              <w:tabs>
                <w:tab w:val="left" w:pos="2785"/>
              </w:tabs>
              <w:spacing w:line="187" w:lineRule="exact"/>
              <w:rPr>
                <w:rFonts w:ascii="Arial" w:eastAsia="Arial" w:hAnsi="Arial" w:cs="Arial"/>
                <w:sz w:val="18"/>
                <w:szCs w:val="18"/>
              </w:rPr>
            </w:pPr>
            <w:r>
              <w:rPr>
                <w:rFonts w:ascii="Arial"/>
                <w:spacing w:val="-1"/>
                <w:sz w:val="18"/>
              </w:rPr>
              <w:t>See addendum</w:t>
            </w:r>
          </w:p>
        </w:tc>
      </w:tr>
      <w:tr w:rsidR="00B51486" w:rsidTr="005208BF">
        <w:trPr>
          <w:trHeight w:hRule="exact" w:val="2175"/>
        </w:trPr>
        <w:tc>
          <w:tcPr>
            <w:tcW w:w="9361" w:type="dxa"/>
            <w:tcBorders>
              <w:top w:val="single" w:sz="7" w:space="0" w:color="000000"/>
              <w:left w:val="single" w:sz="7" w:space="0" w:color="000000"/>
              <w:bottom w:val="single" w:sz="7" w:space="0" w:color="000000"/>
              <w:right w:val="single" w:sz="10" w:space="0" w:color="000000"/>
            </w:tcBorders>
          </w:tcPr>
          <w:p w:rsidR="00B51486" w:rsidRDefault="00B51486" w:rsidP="005208BF">
            <w:pPr>
              <w:pStyle w:val="TableParagraph"/>
              <w:spacing w:before="55"/>
              <w:ind w:left="143"/>
              <w:rPr>
                <w:rFonts w:ascii="Arial" w:eastAsia="Arial" w:hAnsi="Arial" w:cs="Arial"/>
                <w:sz w:val="18"/>
                <w:szCs w:val="18"/>
              </w:rPr>
            </w:pPr>
            <w:r>
              <w:rPr>
                <w:rFonts w:ascii="Arial"/>
                <w:b/>
                <w:spacing w:val="-1"/>
                <w:sz w:val="18"/>
              </w:rPr>
              <w:t>Agency</w:t>
            </w:r>
            <w:r>
              <w:rPr>
                <w:rFonts w:ascii="Arial"/>
                <w:b/>
                <w:spacing w:val="-9"/>
                <w:sz w:val="18"/>
              </w:rPr>
              <w:t xml:space="preserve"> </w:t>
            </w:r>
            <w:r>
              <w:rPr>
                <w:rFonts w:ascii="Arial"/>
                <w:b/>
                <w:spacing w:val="-1"/>
                <w:sz w:val="18"/>
              </w:rPr>
              <w:t>response:</w:t>
            </w:r>
          </w:p>
        </w:tc>
      </w:tr>
    </w:tbl>
    <w:p w:rsidR="00B51486" w:rsidRDefault="00B51486">
      <w:pPr>
        <w:sectPr w:rsidR="00B51486" w:rsidSect="00B51486">
          <w:pgSz w:w="12240" w:h="15840"/>
          <w:pgMar w:top="1440" w:right="1440" w:bottom="1440" w:left="1440" w:header="720" w:footer="720" w:gutter="0"/>
          <w:pgNumType w:start="1"/>
          <w:cols w:space="720"/>
          <w:docGrid w:linePitch="360"/>
        </w:sectPr>
      </w:pPr>
    </w:p>
    <w:p w:rsidR="00B51486" w:rsidRDefault="00B51486"/>
    <w:sectPr w:rsidR="00B51486" w:rsidSect="00B5148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729C"/>
    <w:multiLevelType w:val="hybridMultilevel"/>
    <w:tmpl w:val="4F6C630C"/>
    <w:lvl w:ilvl="0" w:tplc="1B7E05E0">
      <w:start w:val="1"/>
      <w:numFmt w:val="bullet"/>
      <w:lvlText w:val="□"/>
      <w:lvlJc w:val="left"/>
      <w:pPr>
        <w:ind w:left="2784" w:hanging="160"/>
      </w:pPr>
      <w:rPr>
        <w:rFonts w:ascii="Arial" w:eastAsia="Arial" w:hAnsi="Arial" w:hint="default"/>
        <w:sz w:val="18"/>
        <w:szCs w:val="18"/>
      </w:rPr>
    </w:lvl>
    <w:lvl w:ilvl="1" w:tplc="B3B249BE">
      <w:start w:val="1"/>
      <w:numFmt w:val="bullet"/>
      <w:lvlText w:val="□"/>
      <w:lvlJc w:val="left"/>
      <w:pPr>
        <w:ind w:left="4935" w:hanging="160"/>
      </w:pPr>
      <w:rPr>
        <w:rFonts w:ascii="Arial" w:eastAsia="Arial" w:hAnsi="Arial" w:hint="default"/>
        <w:sz w:val="18"/>
        <w:szCs w:val="18"/>
      </w:rPr>
    </w:lvl>
    <w:lvl w:ilvl="2" w:tplc="6AACE7EC">
      <w:start w:val="1"/>
      <w:numFmt w:val="bullet"/>
      <w:lvlText w:val="•"/>
      <w:lvlJc w:val="left"/>
      <w:pPr>
        <w:ind w:left="5425" w:hanging="160"/>
      </w:pPr>
      <w:rPr>
        <w:rFonts w:hint="default"/>
      </w:rPr>
    </w:lvl>
    <w:lvl w:ilvl="3" w:tplc="E5EE771E">
      <w:start w:val="1"/>
      <w:numFmt w:val="bullet"/>
      <w:lvlText w:val="•"/>
      <w:lvlJc w:val="left"/>
      <w:pPr>
        <w:ind w:left="5914" w:hanging="160"/>
      </w:pPr>
      <w:rPr>
        <w:rFonts w:hint="default"/>
      </w:rPr>
    </w:lvl>
    <w:lvl w:ilvl="4" w:tplc="30C8AD8A">
      <w:start w:val="1"/>
      <w:numFmt w:val="bullet"/>
      <w:lvlText w:val="•"/>
      <w:lvlJc w:val="left"/>
      <w:pPr>
        <w:ind w:left="6403" w:hanging="160"/>
      </w:pPr>
      <w:rPr>
        <w:rFonts w:hint="default"/>
      </w:rPr>
    </w:lvl>
    <w:lvl w:ilvl="5" w:tplc="0FDE17A0">
      <w:start w:val="1"/>
      <w:numFmt w:val="bullet"/>
      <w:lvlText w:val="•"/>
      <w:lvlJc w:val="left"/>
      <w:pPr>
        <w:ind w:left="6893" w:hanging="160"/>
      </w:pPr>
      <w:rPr>
        <w:rFonts w:hint="default"/>
      </w:rPr>
    </w:lvl>
    <w:lvl w:ilvl="6" w:tplc="A3A68EE2">
      <w:start w:val="1"/>
      <w:numFmt w:val="bullet"/>
      <w:lvlText w:val="•"/>
      <w:lvlJc w:val="left"/>
      <w:pPr>
        <w:ind w:left="7382" w:hanging="160"/>
      </w:pPr>
      <w:rPr>
        <w:rFonts w:hint="default"/>
      </w:rPr>
    </w:lvl>
    <w:lvl w:ilvl="7" w:tplc="F16EA43A">
      <w:start w:val="1"/>
      <w:numFmt w:val="bullet"/>
      <w:lvlText w:val="•"/>
      <w:lvlJc w:val="left"/>
      <w:pPr>
        <w:ind w:left="7871" w:hanging="160"/>
      </w:pPr>
      <w:rPr>
        <w:rFonts w:hint="default"/>
      </w:rPr>
    </w:lvl>
    <w:lvl w:ilvl="8" w:tplc="E976176E">
      <w:start w:val="1"/>
      <w:numFmt w:val="bullet"/>
      <w:lvlText w:val="•"/>
      <w:lvlJc w:val="left"/>
      <w:pPr>
        <w:ind w:left="8361" w:hanging="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18"/>
    <w:rsid w:val="00315949"/>
    <w:rsid w:val="004B5923"/>
    <w:rsid w:val="004E4B6B"/>
    <w:rsid w:val="005208BF"/>
    <w:rsid w:val="007E4A86"/>
    <w:rsid w:val="00864818"/>
    <w:rsid w:val="009341B0"/>
    <w:rsid w:val="00AE55CB"/>
    <w:rsid w:val="00B51486"/>
    <w:rsid w:val="00CB6A0C"/>
    <w:rsid w:val="00D4653C"/>
    <w:rsid w:val="00D917CF"/>
    <w:rsid w:val="00E05790"/>
    <w:rsid w:val="00E84F08"/>
    <w:rsid w:val="00F01B72"/>
    <w:rsid w:val="00F347F4"/>
    <w:rsid w:val="00FA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4818"/>
    <w:pPr>
      <w:widowControl w:val="0"/>
      <w:spacing w:after="0" w:line="240" w:lineRule="auto"/>
    </w:pPr>
  </w:style>
  <w:style w:type="paragraph" w:styleId="Heading1">
    <w:name w:val="heading 1"/>
    <w:basedOn w:val="Normal"/>
    <w:link w:val="Heading1Char"/>
    <w:uiPriority w:val="1"/>
    <w:qFormat/>
    <w:rsid w:val="00864818"/>
    <w:pPr>
      <w:ind w:left="120"/>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4818"/>
    <w:rPr>
      <w:rFonts w:ascii="Arial" w:eastAsia="Arial" w:hAnsi="Arial"/>
      <w:b/>
      <w:bCs/>
      <w:sz w:val="28"/>
      <w:szCs w:val="28"/>
    </w:rPr>
  </w:style>
  <w:style w:type="paragraph" w:styleId="BodyText">
    <w:name w:val="Body Text"/>
    <w:basedOn w:val="Normal"/>
    <w:link w:val="BodyTextChar"/>
    <w:uiPriority w:val="1"/>
    <w:qFormat/>
    <w:rsid w:val="00864818"/>
    <w:pPr>
      <w:ind w:left="120"/>
    </w:pPr>
    <w:rPr>
      <w:rFonts w:ascii="Times New Roman" w:eastAsia="Times New Roman" w:hAnsi="Times New Roman"/>
    </w:rPr>
  </w:style>
  <w:style w:type="character" w:customStyle="1" w:styleId="BodyTextChar">
    <w:name w:val="Body Text Char"/>
    <w:basedOn w:val="DefaultParagraphFont"/>
    <w:link w:val="BodyText"/>
    <w:uiPriority w:val="1"/>
    <w:rsid w:val="00864818"/>
    <w:rPr>
      <w:rFonts w:ascii="Times New Roman" w:eastAsia="Times New Roman" w:hAnsi="Times New Roman"/>
    </w:rPr>
  </w:style>
  <w:style w:type="paragraph" w:styleId="ListParagraph">
    <w:name w:val="List Paragraph"/>
    <w:basedOn w:val="Normal"/>
    <w:uiPriority w:val="1"/>
    <w:qFormat/>
    <w:rsid w:val="00864818"/>
  </w:style>
  <w:style w:type="paragraph" w:customStyle="1" w:styleId="TableParagraph">
    <w:name w:val="Table Paragraph"/>
    <w:basedOn w:val="Normal"/>
    <w:uiPriority w:val="1"/>
    <w:qFormat/>
    <w:rsid w:val="00864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4818"/>
    <w:pPr>
      <w:widowControl w:val="0"/>
      <w:spacing w:after="0" w:line="240" w:lineRule="auto"/>
    </w:pPr>
  </w:style>
  <w:style w:type="paragraph" w:styleId="Heading1">
    <w:name w:val="heading 1"/>
    <w:basedOn w:val="Normal"/>
    <w:link w:val="Heading1Char"/>
    <w:uiPriority w:val="1"/>
    <w:qFormat/>
    <w:rsid w:val="00864818"/>
    <w:pPr>
      <w:ind w:left="120"/>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4818"/>
    <w:rPr>
      <w:rFonts w:ascii="Arial" w:eastAsia="Arial" w:hAnsi="Arial"/>
      <w:b/>
      <w:bCs/>
      <w:sz w:val="28"/>
      <w:szCs w:val="28"/>
    </w:rPr>
  </w:style>
  <w:style w:type="paragraph" w:styleId="BodyText">
    <w:name w:val="Body Text"/>
    <w:basedOn w:val="Normal"/>
    <w:link w:val="BodyTextChar"/>
    <w:uiPriority w:val="1"/>
    <w:qFormat/>
    <w:rsid w:val="00864818"/>
    <w:pPr>
      <w:ind w:left="120"/>
    </w:pPr>
    <w:rPr>
      <w:rFonts w:ascii="Times New Roman" w:eastAsia="Times New Roman" w:hAnsi="Times New Roman"/>
    </w:rPr>
  </w:style>
  <w:style w:type="character" w:customStyle="1" w:styleId="BodyTextChar">
    <w:name w:val="Body Text Char"/>
    <w:basedOn w:val="DefaultParagraphFont"/>
    <w:link w:val="BodyText"/>
    <w:uiPriority w:val="1"/>
    <w:rsid w:val="00864818"/>
    <w:rPr>
      <w:rFonts w:ascii="Times New Roman" w:eastAsia="Times New Roman" w:hAnsi="Times New Roman"/>
    </w:rPr>
  </w:style>
  <w:style w:type="paragraph" w:styleId="ListParagraph">
    <w:name w:val="List Paragraph"/>
    <w:basedOn w:val="Normal"/>
    <w:uiPriority w:val="1"/>
    <w:qFormat/>
    <w:rsid w:val="00864818"/>
  </w:style>
  <w:style w:type="paragraph" w:customStyle="1" w:styleId="TableParagraph">
    <w:name w:val="Table Paragraph"/>
    <w:basedOn w:val="Normal"/>
    <w:uiPriority w:val="1"/>
    <w:qFormat/>
    <w:rsid w:val="0086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1442</TotalTime>
  <Pages>55</Pages>
  <Words>7920</Words>
  <Characters>45144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New Flyer Industries</Company>
  <LinksUpToDate>false</LinksUpToDate>
  <CharactersWithSpaces>52959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Quinn</dc:creator>
  <cp:lastModifiedBy>Russell Lawrence</cp:lastModifiedBy>
  <cp:revision>13</cp:revision>
  <dcterms:created xsi:type="dcterms:W3CDTF">2016-03-08T19:16:00Z</dcterms:created>
  <dcterms:modified xsi:type="dcterms:W3CDTF">2016-03-09T19:21:00Z</dcterms:modified>
</cp:coreProperties>
</file>